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00" w:rsidRDefault="00463C99" w:rsidP="00621A00">
      <w:pPr>
        <w:pStyle w:val="NormaleWeb"/>
        <w:spacing w:before="0" w:beforeAutospacing="0" w:after="0" w:afterAutospacing="0"/>
        <w:jc w:val="center"/>
        <w:rPr>
          <w:b/>
        </w:rPr>
      </w:pPr>
      <w:r>
        <w:rPr>
          <w:b/>
          <w:noProof/>
        </w:rPr>
        <w:drawing>
          <wp:inline distT="0" distB="0" distL="0" distR="0">
            <wp:extent cx="790575" cy="866775"/>
            <wp:effectExtent l="19050" t="0" r="9525" b="0"/>
            <wp:docPr id="1" name="Immagine 3" descr="emblema_della_repubblica_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mblema_della_repubblica_italiana"/>
                    <pic:cNvPicPr>
                      <a:picLocks noChangeAspect="1" noChangeArrowheads="1"/>
                    </pic:cNvPicPr>
                  </pic:nvPicPr>
                  <pic:blipFill>
                    <a:blip r:embed="rId5"/>
                    <a:srcRect/>
                    <a:stretch>
                      <a:fillRect/>
                    </a:stretch>
                  </pic:blipFill>
                  <pic:spPr bwMode="auto">
                    <a:xfrm>
                      <a:off x="0" y="0"/>
                      <a:ext cx="790575" cy="866775"/>
                    </a:xfrm>
                    <a:prstGeom prst="rect">
                      <a:avLst/>
                    </a:prstGeom>
                    <a:noFill/>
                    <a:ln w="9525">
                      <a:noFill/>
                      <a:miter lim="800000"/>
                      <a:headEnd/>
                      <a:tailEnd/>
                    </a:ln>
                  </pic:spPr>
                </pic:pic>
              </a:graphicData>
            </a:graphic>
          </wp:inline>
        </w:drawing>
      </w:r>
    </w:p>
    <w:p w:rsidR="00621A00" w:rsidRDefault="00621A00" w:rsidP="00621A00">
      <w:pPr>
        <w:jc w:val="center"/>
        <w:rPr>
          <w:b/>
          <w:sz w:val="40"/>
          <w:szCs w:val="40"/>
        </w:rPr>
      </w:pPr>
      <w:r w:rsidRPr="0020681A">
        <w:rPr>
          <w:b/>
          <w:sz w:val="40"/>
          <w:szCs w:val="40"/>
        </w:rPr>
        <w:t>TRIBUNALE ORDINARIO di TIVOLI</w:t>
      </w:r>
    </w:p>
    <w:p w:rsidR="00621A00" w:rsidRDefault="00621A00" w:rsidP="00621A00">
      <w:pPr>
        <w:jc w:val="center"/>
        <w:rPr>
          <w:sz w:val="24"/>
          <w:szCs w:val="24"/>
        </w:rPr>
      </w:pPr>
      <w:r w:rsidRPr="00525459">
        <w:rPr>
          <w:sz w:val="24"/>
          <w:szCs w:val="24"/>
        </w:rPr>
        <w:t>CANCELLERIA DELLE ESECUZIONI IMMOBILIARI</w:t>
      </w:r>
    </w:p>
    <w:p w:rsidR="00621A00" w:rsidRPr="00525459" w:rsidRDefault="00621A00" w:rsidP="00621A00">
      <w:pPr>
        <w:jc w:val="center"/>
        <w:rPr>
          <w:sz w:val="24"/>
          <w:szCs w:val="24"/>
        </w:rPr>
      </w:pPr>
    </w:p>
    <w:p w:rsidR="00621A00" w:rsidRPr="00F671EB" w:rsidRDefault="00621A00" w:rsidP="00621A00">
      <w:pPr>
        <w:widowControl w:val="0"/>
        <w:spacing w:line="360" w:lineRule="auto"/>
        <w:ind w:right="44"/>
        <w:jc w:val="right"/>
        <w:rPr>
          <w:sz w:val="28"/>
          <w:szCs w:val="28"/>
        </w:rPr>
      </w:pPr>
      <w:r>
        <w:rPr>
          <w:noProof/>
          <w:sz w:val="28"/>
          <w:szCs w:val="28"/>
        </w:rPr>
        <w:t>N.R.G.E.I.:___________</w:t>
      </w:r>
    </w:p>
    <w:p w:rsidR="00621A00" w:rsidRPr="00F671EB" w:rsidRDefault="00621A00" w:rsidP="00621A00">
      <w:pPr>
        <w:spacing w:line="360" w:lineRule="auto"/>
        <w:ind w:left="-567"/>
        <w:jc w:val="center"/>
        <w:rPr>
          <w:sz w:val="28"/>
          <w:szCs w:val="28"/>
        </w:rPr>
      </w:pPr>
      <w:r>
        <w:rPr>
          <w:sz w:val="28"/>
          <w:szCs w:val="28"/>
        </w:rPr>
        <w:t>Il G.E. __________________________________</w:t>
      </w:r>
      <w:r w:rsidRPr="00F671EB">
        <w:rPr>
          <w:sz w:val="28"/>
          <w:szCs w:val="28"/>
        </w:rPr>
        <w:t>,</w:t>
      </w:r>
    </w:p>
    <w:p w:rsidR="00412CB2" w:rsidRPr="00606185" w:rsidRDefault="00412CB2" w:rsidP="00606185">
      <w:pPr>
        <w:spacing w:line="360" w:lineRule="auto"/>
        <w:ind w:firstLine="708"/>
        <w:jc w:val="both"/>
        <w:rPr>
          <w:sz w:val="28"/>
          <w:szCs w:val="28"/>
        </w:rPr>
      </w:pPr>
      <w:r w:rsidRPr="00606185">
        <w:rPr>
          <w:sz w:val="28"/>
          <w:szCs w:val="28"/>
        </w:rPr>
        <w:t>letta la richiesta di liquidazione del compenso presentata dal</w:t>
      </w:r>
      <w:r w:rsidR="00B77897" w:rsidRPr="00606185">
        <w:rPr>
          <w:sz w:val="28"/>
          <w:szCs w:val="28"/>
        </w:rPr>
        <w:t>l’esperto</w:t>
      </w:r>
      <w:r w:rsidRPr="00606185">
        <w:rPr>
          <w:sz w:val="28"/>
          <w:szCs w:val="28"/>
        </w:rPr>
        <w:t>;</w:t>
      </w:r>
    </w:p>
    <w:p w:rsidR="00412CB2" w:rsidRPr="00606185" w:rsidRDefault="00412CB2" w:rsidP="00606185">
      <w:pPr>
        <w:spacing w:line="360" w:lineRule="auto"/>
        <w:ind w:firstLine="708"/>
        <w:jc w:val="both"/>
        <w:rPr>
          <w:sz w:val="28"/>
          <w:szCs w:val="28"/>
        </w:rPr>
      </w:pPr>
      <w:r w:rsidRPr="00606185">
        <w:rPr>
          <w:sz w:val="28"/>
          <w:szCs w:val="28"/>
        </w:rPr>
        <w:t>presa visione dell’elaborato peritale e valutatane il grado di completezza e complessità;</w:t>
      </w:r>
    </w:p>
    <w:p w:rsidR="00B77897" w:rsidRPr="00606185" w:rsidRDefault="00B77897" w:rsidP="00606185">
      <w:pPr>
        <w:spacing w:line="360" w:lineRule="auto"/>
        <w:ind w:firstLine="708"/>
        <w:jc w:val="both"/>
        <w:rPr>
          <w:i/>
          <w:sz w:val="28"/>
          <w:szCs w:val="28"/>
        </w:rPr>
      </w:pPr>
      <w:r w:rsidRPr="00606185">
        <w:rPr>
          <w:sz w:val="28"/>
          <w:szCs w:val="28"/>
        </w:rPr>
        <w:t xml:space="preserve">visto l’art. 161, ultimo comma, delle disposizioni di attuazione al codice di procedura civile, introdotto dalla legge n. 132 del 2015, ai sensi del quale: </w:t>
      </w:r>
      <w:r w:rsidRPr="00606185">
        <w:rPr>
          <w:i/>
          <w:sz w:val="28"/>
          <w:szCs w:val="28"/>
        </w:rPr>
        <w:t>“Il compenso dell’esperto o dello stimatore nominato dal giudice o dall’ufficiale giudiziario è calcolato sulla base del prezzo ricavato dalla vendita. Prima della vendita non possono essere liquidati acconti in misura superiore al cinquanta per cento del compenso calcolato sulla base del valore di stima”;</w:t>
      </w:r>
    </w:p>
    <w:p w:rsidR="00606185" w:rsidRPr="00F671EB" w:rsidRDefault="00606185" w:rsidP="00606185">
      <w:pPr>
        <w:spacing w:line="360" w:lineRule="auto"/>
        <w:ind w:firstLine="708"/>
        <w:jc w:val="both"/>
        <w:rPr>
          <w:sz w:val="28"/>
          <w:szCs w:val="28"/>
        </w:rPr>
      </w:pPr>
      <w:r w:rsidRPr="00F671EB">
        <w:rPr>
          <w:sz w:val="28"/>
          <w:szCs w:val="28"/>
        </w:rPr>
        <w:t xml:space="preserve">ritenuto che tale disposizione, in quanto espressamente riferita, quale parametro per la liquidazione del compenso, al prezzo ricavato dalla vendita, </w:t>
      </w:r>
      <w:r>
        <w:rPr>
          <w:sz w:val="28"/>
          <w:szCs w:val="28"/>
        </w:rPr>
        <w:t xml:space="preserve">debba ritenersi </w:t>
      </w:r>
      <w:r w:rsidRPr="00F671EB">
        <w:rPr>
          <w:sz w:val="28"/>
          <w:szCs w:val="28"/>
        </w:rPr>
        <w:t xml:space="preserve">applicabile </w:t>
      </w:r>
      <w:r>
        <w:rPr>
          <w:sz w:val="28"/>
          <w:szCs w:val="28"/>
        </w:rPr>
        <w:t xml:space="preserve">esclusivamente </w:t>
      </w:r>
      <w:r w:rsidRPr="00F671EB">
        <w:rPr>
          <w:sz w:val="28"/>
          <w:szCs w:val="28"/>
        </w:rPr>
        <w:t>all’attività di stima dell’immobile pignor</w:t>
      </w:r>
      <w:r>
        <w:rPr>
          <w:sz w:val="28"/>
          <w:szCs w:val="28"/>
        </w:rPr>
        <w:t>ato (la sola per la quale assume</w:t>
      </w:r>
      <w:r w:rsidRPr="00F671EB">
        <w:rPr>
          <w:sz w:val="28"/>
          <w:szCs w:val="28"/>
        </w:rPr>
        <w:t xml:space="preserve"> rilievo, quale parametro per la liquidazione del compenso, l’importo stimato, ai sensi dell’art. 13 delle tabelle contenenti la misura degli onorari fissi e di quelli variabili dei periti e dei consulenti tecnici, approvate con DPR n. 820 del 1983, come rideterminate dal DM 30 maggio 2002), mentre deve escludersi che possa applicarsi alle ulteriori attività, poste in essere dall’esperto ai fini di dare risposta a tutti i quesiti contenuti nel verbale di conferimento dell’incarico;</w:t>
      </w:r>
    </w:p>
    <w:p w:rsidR="00606185" w:rsidRPr="00F671EB" w:rsidRDefault="00606185" w:rsidP="00606185">
      <w:pPr>
        <w:spacing w:line="360" w:lineRule="auto"/>
        <w:ind w:firstLine="708"/>
        <w:jc w:val="both"/>
        <w:rPr>
          <w:sz w:val="28"/>
          <w:szCs w:val="28"/>
        </w:rPr>
      </w:pPr>
      <w:r w:rsidRPr="00F671EB">
        <w:rPr>
          <w:sz w:val="28"/>
          <w:szCs w:val="28"/>
        </w:rPr>
        <w:t>considerato infatti che per la liquidazione del compenso riferito a tali ulteriori attività non assume rilevanza il valore del bene assoggettato all’esecuzione, con la conseguenza che alla stessa non p</w:t>
      </w:r>
      <w:r>
        <w:rPr>
          <w:sz w:val="28"/>
          <w:szCs w:val="28"/>
        </w:rPr>
        <w:t>ossa</w:t>
      </w:r>
      <w:r w:rsidRPr="00F671EB">
        <w:rPr>
          <w:sz w:val="28"/>
          <w:szCs w:val="28"/>
        </w:rPr>
        <w:t xml:space="preserve"> ritenersi applicabile la previsione della liquidazione di acconti, in misura non superiore al cinquanta per cento del compenso calcolato sulla base del valore di stima;</w:t>
      </w:r>
    </w:p>
    <w:p w:rsidR="00621A00" w:rsidRDefault="00606185" w:rsidP="00B77897">
      <w:pPr>
        <w:spacing w:line="480" w:lineRule="auto"/>
        <w:jc w:val="both"/>
        <w:rPr>
          <w:sz w:val="28"/>
          <w:szCs w:val="28"/>
        </w:rPr>
      </w:pPr>
      <w:r>
        <w:rPr>
          <w:sz w:val="28"/>
          <w:szCs w:val="28"/>
        </w:rPr>
        <w:t xml:space="preserve">visti gli artt. 12 e 13 DM 30.5.2002 </w:t>
      </w:r>
      <w:r w:rsidR="00621A00">
        <w:rPr>
          <w:sz w:val="28"/>
          <w:szCs w:val="28"/>
        </w:rPr>
        <w:t>nonché</w:t>
      </w:r>
      <w:r>
        <w:rPr>
          <w:sz w:val="28"/>
          <w:szCs w:val="28"/>
        </w:rPr>
        <w:t xml:space="preserve"> l'art. 161 ultimo comma disp. att. c.p.c.</w:t>
      </w:r>
    </w:p>
    <w:p w:rsidR="00606185" w:rsidRPr="00606185" w:rsidRDefault="00606185" w:rsidP="00606185">
      <w:pPr>
        <w:spacing w:line="360" w:lineRule="auto"/>
        <w:ind w:firstLine="708"/>
        <w:jc w:val="center"/>
        <w:rPr>
          <w:sz w:val="32"/>
          <w:szCs w:val="32"/>
        </w:rPr>
      </w:pPr>
      <w:r w:rsidRPr="00606185">
        <w:rPr>
          <w:sz w:val="32"/>
          <w:szCs w:val="32"/>
        </w:rPr>
        <w:lastRenderedPageBreak/>
        <w:t>liquida</w:t>
      </w:r>
    </w:p>
    <w:p w:rsidR="00515F13" w:rsidRPr="00606185" w:rsidRDefault="00606185" w:rsidP="00606185">
      <w:pPr>
        <w:spacing w:line="360" w:lineRule="auto"/>
        <w:jc w:val="both"/>
        <w:rPr>
          <w:sz w:val="28"/>
          <w:szCs w:val="28"/>
        </w:rPr>
      </w:pPr>
      <w:r>
        <w:rPr>
          <w:sz w:val="28"/>
          <w:szCs w:val="28"/>
        </w:rPr>
        <w:t xml:space="preserve">in favore dell'Esperto stimatore geom.   </w:t>
      </w:r>
    </w:p>
    <w:p w:rsidR="00B77897" w:rsidRPr="00606185" w:rsidRDefault="00171C04" w:rsidP="00606185">
      <w:pPr>
        <w:numPr>
          <w:ilvl w:val="0"/>
          <w:numId w:val="2"/>
        </w:numPr>
        <w:spacing w:line="360" w:lineRule="auto"/>
        <w:jc w:val="both"/>
        <w:rPr>
          <w:sz w:val="28"/>
          <w:szCs w:val="28"/>
        </w:rPr>
      </w:pPr>
      <w:r w:rsidRPr="00606185">
        <w:rPr>
          <w:sz w:val="28"/>
          <w:szCs w:val="28"/>
        </w:rPr>
        <w:t xml:space="preserve">€ </w:t>
      </w:r>
      <w:r w:rsidRPr="00606185">
        <w:rPr>
          <w:sz w:val="28"/>
          <w:szCs w:val="28"/>
        </w:rPr>
        <w:tab/>
      </w:r>
      <w:r w:rsidRPr="00606185">
        <w:rPr>
          <w:sz w:val="28"/>
          <w:szCs w:val="28"/>
        </w:rPr>
        <w:tab/>
      </w:r>
      <w:r w:rsidR="00515F13" w:rsidRPr="00606185">
        <w:rPr>
          <w:sz w:val="28"/>
          <w:szCs w:val="28"/>
        </w:rPr>
        <w:t xml:space="preserve">, </w:t>
      </w:r>
      <w:r w:rsidRPr="00606185">
        <w:rPr>
          <w:sz w:val="28"/>
          <w:szCs w:val="28"/>
        </w:rPr>
        <w:t xml:space="preserve">a titolo di acconto sul </w:t>
      </w:r>
      <w:r w:rsidR="00B77897" w:rsidRPr="00606185">
        <w:rPr>
          <w:sz w:val="28"/>
          <w:szCs w:val="28"/>
        </w:rPr>
        <w:t xml:space="preserve">compenso </w:t>
      </w:r>
      <w:r w:rsidR="00515F13" w:rsidRPr="00606185">
        <w:rPr>
          <w:sz w:val="28"/>
          <w:szCs w:val="28"/>
        </w:rPr>
        <w:t xml:space="preserve">per </w:t>
      </w:r>
      <w:r w:rsidR="00B77897" w:rsidRPr="00606185">
        <w:rPr>
          <w:sz w:val="28"/>
          <w:szCs w:val="28"/>
        </w:rPr>
        <w:t>l’attività di stima del bene pignorato</w:t>
      </w:r>
      <w:r w:rsidRPr="00606185">
        <w:rPr>
          <w:sz w:val="28"/>
          <w:szCs w:val="28"/>
        </w:rPr>
        <w:t xml:space="preserve"> (50% del compenso riferito al valore di stima)</w:t>
      </w:r>
      <w:r w:rsidR="00B77897" w:rsidRPr="00606185">
        <w:rPr>
          <w:sz w:val="28"/>
          <w:szCs w:val="28"/>
        </w:rPr>
        <w:t>;</w:t>
      </w:r>
    </w:p>
    <w:p w:rsidR="00844425" w:rsidRPr="00606185" w:rsidRDefault="00515F13" w:rsidP="00606185">
      <w:pPr>
        <w:numPr>
          <w:ilvl w:val="0"/>
          <w:numId w:val="2"/>
        </w:numPr>
        <w:spacing w:line="360" w:lineRule="auto"/>
        <w:jc w:val="both"/>
        <w:rPr>
          <w:sz w:val="28"/>
          <w:szCs w:val="28"/>
        </w:rPr>
      </w:pPr>
      <w:r w:rsidRPr="00606185">
        <w:rPr>
          <w:sz w:val="28"/>
          <w:szCs w:val="28"/>
        </w:rPr>
        <w:t xml:space="preserve">€ </w:t>
      </w:r>
      <w:r w:rsidRPr="00606185">
        <w:rPr>
          <w:sz w:val="28"/>
          <w:szCs w:val="28"/>
        </w:rPr>
        <w:tab/>
      </w:r>
      <w:r w:rsidRPr="00606185">
        <w:rPr>
          <w:sz w:val="28"/>
          <w:szCs w:val="28"/>
        </w:rPr>
        <w:tab/>
        <w:t xml:space="preserve">, a titolo di compenso </w:t>
      </w:r>
      <w:r w:rsidR="00606185">
        <w:rPr>
          <w:sz w:val="28"/>
          <w:szCs w:val="28"/>
        </w:rPr>
        <w:t xml:space="preserve">integrale </w:t>
      </w:r>
      <w:r w:rsidRPr="00606185">
        <w:rPr>
          <w:sz w:val="28"/>
          <w:szCs w:val="28"/>
        </w:rPr>
        <w:t xml:space="preserve">per la verifica in tema di rispondenza tecnica </w:t>
      </w:r>
      <w:r w:rsidR="00DA54DA" w:rsidRPr="00606185">
        <w:rPr>
          <w:sz w:val="28"/>
          <w:szCs w:val="28"/>
        </w:rPr>
        <w:t xml:space="preserve">alle prescrizioni di progetto e alle </w:t>
      </w:r>
      <w:r w:rsidR="00844425" w:rsidRPr="00606185">
        <w:rPr>
          <w:sz w:val="28"/>
          <w:szCs w:val="28"/>
        </w:rPr>
        <w:t>norme urbanistiche</w:t>
      </w:r>
      <w:r w:rsidR="00130FE2" w:rsidRPr="00606185">
        <w:rPr>
          <w:sz w:val="28"/>
          <w:szCs w:val="28"/>
        </w:rPr>
        <w:t xml:space="preserve">, ex art. 12, comma I, delle tabelle </w:t>
      </w:r>
      <w:r w:rsidR="003B3386" w:rsidRPr="00606185">
        <w:rPr>
          <w:sz w:val="28"/>
          <w:szCs w:val="28"/>
        </w:rPr>
        <w:t>approvate con DPR n. 820 del 1983, come rideterminate dal DM 30 maggio 2002</w:t>
      </w:r>
      <w:r w:rsidR="00844425" w:rsidRPr="00606185">
        <w:rPr>
          <w:sz w:val="28"/>
          <w:szCs w:val="28"/>
        </w:rPr>
        <w:t>;</w:t>
      </w:r>
    </w:p>
    <w:p w:rsidR="003B3386" w:rsidRPr="00606185" w:rsidRDefault="00844425" w:rsidP="00606185">
      <w:pPr>
        <w:numPr>
          <w:ilvl w:val="0"/>
          <w:numId w:val="2"/>
        </w:numPr>
        <w:spacing w:line="360" w:lineRule="auto"/>
        <w:jc w:val="both"/>
        <w:rPr>
          <w:sz w:val="28"/>
          <w:szCs w:val="28"/>
        </w:rPr>
      </w:pPr>
      <w:r w:rsidRPr="00606185">
        <w:rPr>
          <w:sz w:val="28"/>
          <w:szCs w:val="28"/>
        </w:rPr>
        <w:t xml:space="preserve">€ </w:t>
      </w:r>
      <w:r w:rsidRPr="00606185">
        <w:rPr>
          <w:sz w:val="28"/>
          <w:szCs w:val="28"/>
        </w:rPr>
        <w:tab/>
      </w:r>
      <w:r w:rsidRPr="00606185">
        <w:rPr>
          <w:sz w:val="28"/>
          <w:szCs w:val="28"/>
        </w:rPr>
        <w:tab/>
        <w:t xml:space="preserve">, a titolo di compenso per le attività di rilievo </w:t>
      </w:r>
      <w:r w:rsidR="00130FE2" w:rsidRPr="00606185">
        <w:rPr>
          <w:sz w:val="28"/>
          <w:szCs w:val="28"/>
        </w:rPr>
        <w:t>planimetrico</w:t>
      </w:r>
      <w:r w:rsidR="003B3386" w:rsidRPr="00606185">
        <w:rPr>
          <w:sz w:val="28"/>
          <w:szCs w:val="28"/>
        </w:rPr>
        <w:t>, ex art. 12, secondo comma,</w:t>
      </w:r>
      <w:r w:rsidR="00B77897" w:rsidRPr="00606185">
        <w:rPr>
          <w:sz w:val="28"/>
          <w:szCs w:val="28"/>
        </w:rPr>
        <w:t xml:space="preserve"> delle tabelle </w:t>
      </w:r>
      <w:r w:rsidR="00130FE2" w:rsidRPr="00606185">
        <w:rPr>
          <w:sz w:val="28"/>
          <w:szCs w:val="28"/>
        </w:rPr>
        <w:t>approvate con DPR n. 820 del 1983, come rideterminate dal DM 30 maggio 2002</w:t>
      </w:r>
      <w:r w:rsidR="003B3386" w:rsidRPr="00606185">
        <w:rPr>
          <w:sz w:val="28"/>
          <w:szCs w:val="28"/>
        </w:rPr>
        <w:t>;</w:t>
      </w:r>
    </w:p>
    <w:p w:rsidR="00B77897" w:rsidRPr="00606185" w:rsidRDefault="003B3386" w:rsidP="00606185">
      <w:pPr>
        <w:numPr>
          <w:ilvl w:val="0"/>
          <w:numId w:val="2"/>
        </w:numPr>
        <w:spacing w:line="360" w:lineRule="auto"/>
        <w:jc w:val="both"/>
        <w:rPr>
          <w:sz w:val="28"/>
          <w:szCs w:val="28"/>
        </w:rPr>
      </w:pPr>
      <w:r w:rsidRPr="00606185">
        <w:rPr>
          <w:sz w:val="28"/>
          <w:szCs w:val="28"/>
        </w:rPr>
        <w:t xml:space="preserve">€ </w:t>
      </w:r>
      <w:r w:rsidR="00B77897" w:rsidRPr="00606185">
        <w:rPr>
          <w:sz w:val="28"/>
          <w:szCs w:val="28"/>
        </w:rPr>
        <w:tab/>
      </w:r>
      <w:r w:rsidR="002173FE" w:rsidRPr="00606185">
        <w:rPr>
          <w:sz w:val="28"/>
          <w:szCs w:val="28"/>
        </w:rPr>
        <w:t xml:space="preserve"> </w:t>
      </w:r>
      <w:r w:rsidR="002173FE" w:rsidRPr="00606185">
        <w:rPr>
          <w:sz w:val="28"/>
          <w:szCs w:val="28"/>
        </w:rPr>
        <w:tab/>
        <w:t xml:space="preserve">per </w:t>
      </w:r>
      <w:r w:rsidR="00B77897" w:rsidRPr="00606185">
        <w:rPr>
          <w:sz w:val="28"/>
          <w:szCs w:val="28"/>
        </w:rPr>
        <w:t>spese.</w:t>
      </w:r>
    </w:p>
    <w:p w:rsidR="00606185" w:rsidRDefault="00412CB2" w:rsidP="00606185">
      <w:pPr>
        <w:spacing w:line="360" w:lineRule="auto"/>
        <w:jc w:val="both"/>
        <w:rPr>
          <w:sz w:val="28"/>
          <w:szCs w:val="28"/>
        </w:rPr>
      </w:pPr>
      <w:r w:rsidRPr="00606185">
        <w:rPr>
          <w:sz w:val="28"/>
          <w:szCs w:val="28"/>
        </w:rPr>
        <w:t xml:space="preserve">oltre </w:t>
      </w:r>
      <w:r w:rsidR="00606185">
        <w:rPr>
          <w:sz w:val="28"/>
          <w:szCs w:val="28"/>
        </w:rPr>
        <w:t>IVA e Cassa come per legge.</w:t>
      </w:r>
    </w:p>
    <w:p w:rsidR="00412CB2" w:rsidRDefault="00606185" w:rsidP="00606185">
      <w:pPr>
        <w:spacing w:line="360" w:lineRule="auto"/>
        <w:jc w:val="both"/>
        <w:rPr>
          <w:sz w:val="28"/>
          <w:szCs w:val="28"/>
        </w:rPr>
      </w:pPr>
      <w:r>
        <w:rPr>
          <w:sz w:val="28"/>
          <w:szCs w:val="28"/>
        </w:rPr>
        <w:t>Pone il pagamento a carico del creditore procedente quale importo rimborsabile in prededuzione ex art. 2779 c.c., con detrazione dell'acconto già ricevuto.</w:t>
      </w:r>
    </w:p>
    <w:p w:rsidR="00606185" w:rsidRDefault="00606185" w:rsidP="00606185">
      <w:pPr>
        <w:spacing w:line="360" w:lineRule="auto"/>
        <w:ind w:firstLine="708"/>
        <w:jc w:val="both"/>
        <w:rPr>
          <w:sz w:val="28"/>
          <w:szCs w:val="28"/>
        </w:rPr>
      </w:pPr>
      <w:r>
        <w:rPr>
          <w:sz w:val="28"/>
          <w:szCs w:val="28"/>
        </w:rPr>
        <w:t>Si comunichi</w:t>
      </w:r>
      <w:r w:rsidR="001255EE">
        <w:rPr>
          <w:sz w:val="28"/>
          <w:szCs w:val="28"/>
        </w:rPr>
        <w:t>.</w:t>
      </w:r>
    </w:p>
    <w:p w:rsidR="00412CB2" w:rsidRPr="00606185" w:rsidRDefault="00606185" w:rsidP="00606185">
      <w:pPr>
        <w:spacing w:line="480" w:lineRule="auto"/>
        <w:jc w:val="both"/>
        <w:rPr>
          <w:sz w:val="28"/>
          <w:szCs w:val="28"/>
        </w:rPr>
      </w:pPr>
      <w:r>
        <w:rPr>
          <w:sz w:val="28"/>
          <w:szCs w:val="28"/>
        </w:rPr>
        <w:t xml:space="preserve">Tivoli, </w:t>
      </w:r>
    </w:p>
    <w:p w:rsidR="00412CB2" w:rsidRPr="00606185" w:rsidRDefault="00412CB2" w:rsidP="00606185">
      <w:pPr>
        <w:spacing w:line="480" w:lineRule="auto"/>
        <w:jc w:val="right"/>
        <w:rPr>
          <w:sz w:val="28"/>
          <w:szCs w:val="28"/>
        </w:rPr>
      </w:pPr>
      <w:r w:rsidRPr="00606185">
        <w:rPr>
          <w:sz w:val="28"/>
          <w:szCs w:val="28"/>
        </w:rPr>
        <w:t>Il giudice dell’esecuzione</w:t>
      </w:r>
    </w:p>
    <w:p w:rsidR="00B30843" w:rsidRPr="00606185" w:rsidRDefault="00B30843" w:rsidP="00606185">
      <w:pPr>
        <w:spacing w:line="480" w:lineRule="auto"/>
        <w:jc w:val="right"/>
        <w:rPr>
          <w:sz w:val="28"/>
          <w:szCs w:val="28"/>
        </w:rPr>
      </w:pPr>
    </w:p>
    <w:sectPr w:rsidR="00B30843" w:rsidRPr="00606185" w:rsidSect="00621A00">
      <w:pgSz w:w="11906" w:h="16838"/>
      <w:pgMar w:top="56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34E"/>
    <w:multiLevelType w:val="hybridMultilevel"/>
    <w:tmpl w:val="A9AEF0D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211621A"/>
    <w:multiLevelType w:val="hybridMultilevel"/>
    <w:tmpl w:val="B5A4F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412CB2"/>
    <w:rsid w:val="000A5243"/>
    <w:rsid w:val="001255EE"/>
    <w:rsid w:val="00130FE2"/>
    <w:rsid w:val="00171C04"/>
    <w:rsid w:val="0020681A"/>
    <w:rsid w:val="002173FE"/>
    <w:rsid w:val="002E4216"/>
    <w:rsid w:val="003B3386"/>
    <w:rsid w:val="003B7C66"/>
    <w:rsid w:val="00412CB2"/>
    <w:rsid w:val="00463C99"/>
    <w:rsid w:val="00515F13"/>
    <w:rsid w:val="00525459"/>
    <w:rsid w:val="00606185"/>
    <w:rsid w:val="00621A00"/>
    <w:rsid w:val="007A50CD"/>
    <w:rsid w:val="007C0991"/>
    <w:rsid w:val="00844425"/>
    <w:rsid w:val="00B30843"/>
    <w:rsid w:val="00B77897"/>
    <w:rsid w:val="00DA54DA"/>
    <w:rsid w:val="00F671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2CB2"/>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412CB2"/>
    <w:pPr>
      <w:jc w:val="center"/>
    </w:pPr>
    <w:rPr>
      <w:sz w:val="28"/>
    </w:rPr>
  </w:style>
  <w:style w:type="character" w:customStyle="1" w:styleId="TitoloCarattere">
    <w:name w:val="Titolo Carattere"/>
    <w:basedOn w:val="Carpredefinitoparagrafo"/>
    <w:link w:val="Titolo"/>
    <w:uiPriority w:val="10"/>
    <w:locked/>
    <w:rsid w:val="00412CB2"/>
    <w:rPr>
      <w:rFonts w:ascii="Times New Roman" w:hAnsi="Times New Roman" w:cs="Times New Roman"/>
      <w:sz w:val="20"/>
      <w:lang w:eastAsia="it-IT"/>
    </w:rPr>
  </w:style>
  <w:style w:type="paragraph" w:styleId="Sottotitolo">
    <w:name w:val="Subtitle"/>
    <w:basedOn w:val="Normale"/>
    <w:link w:val="SottotitoloCarattere"/>
    <w:uiPriority w:val="11"/>
    <w:qFormat/>
    <w:rsid w:val="00412CB2"/>
    <w:pPr>
      <w:spacing w:line="480" w:lineRule="auto"/>
      <w:jc w:val="both"/>
    </w:pPr>
    <w:rPr>
      <w:sz w:val="28"/>
    </w:rPr>
  </w:style>
  <w:style w:type="character" w:customStyle="1" w:styleId="SottotitoloCarattere">
    <w:name w:val="Sottotitolo Carattere"/>
    <w:basedOn w:val="Carpredefinitoparagrafo"/>
    <w:link w:val="Sottotitolo"/>
    <w:uiPriority w:val="11"/>
    <w:locked/>
    <w:rsid w:val="00412CB2"/>
    <w:rPr>
      <w:rFonts w:ascii="Times New Roman" w:hAnsi="Times New Roman" w:cs="Times New Roman"/>
      <w:sz w:val="20"/>
      <w:lang w:eastAsia="it-IT"/>
    </w:rPr>
  </w:style>
  <w:style w:type="paragraph" w:styleId="Testofumetto">
    <w:name w:val="Balloon Text"/>
    <w:basedOn w:val="Normale"/>
    <w:link w:val="TestofumettoCarattere"/>
    <w:uiPriority w:val="99"/>
    <w:semiHidden/>
    <w:unhideWhenUsed/>
    <w:rsid w:val="00412CB2"/>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412CB2"/>
    <w:rPr>
      <w:rFonts w:ascii="Tahoma" w:hAnsi="Tahoma" w:cs="Times New Roman"/>
      <w:sz w:val="16"/>
      <w:lang w:eastAsia="it-IT"/>
    </w:rPr>
  </w:style>
  <w:style w:type="paragraph" w:styleId="NormaleWeb">
    <w:name w:val="Normal (Web)"/>
    <w:basedOn w:val="Normale"/>
    <w:uiPriority w:val="99"/>
    <w:rsid w:val="00621A0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2433</Characters>
  <Application>Microsoft Office Word</Application>
  <DocSecurity>0</DocSecurity>
  <Lines>20</Lines>
  <Paragraphs>5</Paragraphs>
  <ScaleCrop>false</ScaleCrop>
  <Company>Hewlett-Packard Company</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Lodolini</dc:creator>
  <cp:lastModifiedBy>Tivoli02</cp:lastModifiedBy>
  <cp:revision>2</cp:revision>
  <dcterms:created xsi:type="dcterms:W3CDTF">2020-07-03T13:57:00Z</dcterms:created>
  <dcterms:modified xsi:type="dcterms:W3CDTF">2020-07-03T13:57:00Z</dcterms:modified>
</cp:coreProperties>
</file>